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1902"/>
      </w:pPr>
      <w:r>
        <w:rPr/>
        <w:t>臺北市地下街商場廣場使用申請書件</w:t>
      </w:r>
    </w:p>
    <w:p>
      <w:pPr>
        <w:pStyle w:val="Heading3"/>
        <w:spacing w:before="282"/>
      </w:pPr>
      <w:r>
        <w:rPr/>
        <w:t>檢核表（請申請人自行檢核與勾選）</w:t>
      </w:r>
    </w:p>
    <w:p>
      <w:pPr>
        <w:spacing w:line="594" w:lineRule="exact" w:before="243"/>
        <w:ind w:left="178" w:right="0" w:firstLine="0"/>
        <w:jc w:val="left"/>
        <w:rPr>
          <w:rFonts w:ascii="微軟正黑體" w:hAnsi="微軟正黑體" w:eastAsia="微軟正黑體" w:hint="eastAsia"/>
          <w:b/>
          <w:sz w:val="36"/>
        </w:rPr>
      </w:pPr>
      <w:r>
        <w:rPr>
          <w:rFonts w:ascii="微軟正黑體" w:hAnsi="微軟正黑體" w:eastAsia="微軟正黑體" w:hint="eastAsia"/>
          <w:b/>
          <w:w w:val="105"/>
          <w:sz w:val="36"/>
        </w:rPr>
        <w:t>□台北地下街□站前地下街□龍山寺地下街</w:t>
      </w:r>
    </w:p>
    <w:p>
      <w:pPr>
        <w:spacing w:line="412" w:lineRule="exact" w:before="0"/>
        <w:ind w:left="178" w:right="0" w:firstLine="0"/>
        <w:jc w:val="left"/>
        <w:rPr>
          <w:rFonts w:ascii="微軟正黑體" w:eastAsia="微軟正黑體" w:hint="eastAsia"/>
          <w:b/>
          <w:sz w:val="28"/>
        </w:rPr>
      </w:pPr>
      <w:r>
        <w:rPr>
          <w:rFonts w:ascii="微軟正黑體" w:eastAsia="微軟正黑體" w:hint="eastAsia"/>
          <w:b/>
          <w:sz w:val="28"/>
        </w:rPr>
        <w:t>活動名稱：</w:t>
      </w:r>
    </w:p>
    <w:p>
      <w:pPr>
        <w:tabs>
          <w:tab w:pos="7286" w:val="left" w:leader="none"/>
        </w:tabs>
        <w:spacing w:line="445" w:lineRule="exact" w:before="0"/>
        <w:ind w:left="178" w:right="0" w:firstLine="0"/>
        <w:jc w:val="left"/>
        <w:rPr>
          <w:rFonts w:ascii="微軟正黑體" w:eastAsia="微軟正黑體" w:hint="eastAsia"/>
          <w:b/>
          <w:sz w:val="28"/>
        </w:rPr>
      </w:pPr>
      <w:r>
        <w:rPr/>
        <w:pict>
          <v:shape style="position:absolute;margin-left:69.264pt;margin-top:23.622202pt;width:470.3pt;height:521.75pt;mso-position-horizontal-relative:page;mso-position-vertical-relative:paragraph;z-index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69"/>
                    <w:gridCol w:w="5642"/>
                    <w:gridCol w:w="1080"/>
                    <w:gridCol w:w="1200"/>
                  </w:tblGrid>
                  <w:tr>
                    <w:trPr>
                      <w:trHeight w:val="557" w:hRule="exact"/>
                    </w:trPr>
                    <w:tc>
                      <w:tcPr>
                        <w:tcW w:w="1469" w:type="dxa"/>
                      </w:tcPr>
                      <w:p>
                        <w:pPr>
                          <w:pStyle w:val="TableParagraph"/>
                          <w:spacing w:line="426" w:lineRule="exact"/>
                          <w:ind w:left="24"/>
                          <w:rPr>
                            <w:rFonts w:ascii="微軟正黑體" w:eastAsia="微軟正黑體" w:hint="eastAsia"/>
                            <w:b/>
                            <w:sz w:val="28"/>
                          </w:rPr>
                        </w:pPr>
                        <w:r>
                          <w:rPr>
                            <w:rFonts w:ascii="微軟正黑體" w:eastAsia="微軟正黑體" w:hint="eastAsia"/>
                            <w:b/>
                            <w:sz w:val="28"/>
                          </w:rPr>
                          <w:t>項目</w:t>
                        </w:r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426" w:lineRule="exact"/>
                          <w:ind w:left="21"/>
                          <w:rPr>
                            <w:rFonts w:ascii="微軟正黑體" w:eastAsia="微軟正黑體" w:hint="eastAsia"/>
                            <w:b/>
                            <w:sz w:val="28"/>
                          </w:rPr>
                        </w:pPr>
                        <w:r>
                          <w:rPr>
                            <w:rFonts w:ascii="微軟正黑體" w:eastAsia="微軟正黑體" w:hint="eastAsia"/>
                            <w:b/>
                            <w:sz w:val="28"/>
                          </w:rPr>
                          <w:t>內容</w:t>
                        </w:r>
                      </w:p>
                    </w:tc>
                    <w:tc>
                      <w:tcPr>
                        <w:tcW w:w="2280" w:type="dxa"/>
                        <w:gridSpan w:val="2"/>
                      </w:tcPr>
                      <w:p>
                        <w:pPr>
                          <w:pStyle w:val="TableParagraph"/>
                          <w:spacing w:line="426" w:lineRule="exact"/>
                          <w:ind w:left="573"/>
                          <w:rPr>
                            <w:rFonts w:ascii="微軟正黑體" w:eastAsia="微軟正黑體" w:hint="eastAsia"/>
                            <w:b/>
                            <w:sz w:val="28"/>
                          </w:rPr>
                        </w:pPr>
                        <w:r>
                          <w:rPr>
                            <w:rFonts w:ascii="微軟正黑體" w:eastAsia="微軟正黑體" w:hint="eastAsia"/>
                            <w:b/>
                            <w:sz w:val="28"/>
                          </w:rPr>
                          <w:t>檢核結果</w:t>
                        </w:r>
                      </w:p>
                    </w:tc>
                  </w:tr>
                  <w:tr>
                    <w:trPr>
                      <w:trHeight w:val="1061" w:hRule="exact"/>
                    </w:trPr>
                    <w:tc>
                      <w:tcPr>
                        <w:tcW w:w="1469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Courier New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30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申請書</w:t>
                        </w:r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Courier New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1"/>
                          <w:rPr>
                            <w:rFonts w:ascii="Times New Roman" w:eastAsia="Times New Roman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是否代理申請</w:t>
                        </w:r>
                        <w:r>
                          <w:rPr>
                            <w:rFonts w:ascii="Times New Roman" w:eastAsia="Times New Roman"/>
                            <w:sz w:val="28"/>
                          </w:rPr>
                          <w:t>(</w:t>
                        </w:r>
                        <w:r>
                          <w:rPr>
                            <w:sz w:val="28"/>
                          </w:rPr>
                          <w:t>如為代理申請須加附委任書</w:t>
                        </w:r>
                        <w:r>
                          <w:rPr>
                            <w:rFonts w:ascii="Times New Roman" w:eastAsia="Times New Roman"/>
                            <w:sz w:val="28"/>
                          </w:rPr>
                          <w:t>)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Courier New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□是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Courier New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□否</w:t>
                        </w:r>
                      </w:p>
                    </w:tc>
                  </w:tr>
                  <w:tr>
                    <w:trPr>
                      <w:trHeight w:val="413" w:hRule="exact"/>
                    </w:trPr>
                    <w:tc>
                      <w:tcPr>
                        <w:tcW w:w="1469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rFonts w:ascii="Courier New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6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申請書件</w:t>
                        </w:r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申請表（含用印）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39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39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□未附</w:t>
                        </w:r>
                      </w:p>
                    </w:tc>
                  </w:tr>
                  <w:tr>
                    <w:trPr>
                      <w:trHeight w:val="1831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21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pacing w:val="-3"/>
                            <w:sz w:val="28"/>
                          </w:rPr>
                          <w:t>申請人資料表及書面證明文件</w:t>
                        </w:r>
                        <w:r>
                          <w:rPr>
                            <w:rFonts w:ascii="Times New Roman" w:eastAsia="Times New Roman"/>
                            <w:spacing w:val="-3"/>
                            <w:sz w:val="28"/>
                          </w:rPr>
                          <w:t>(</w:t>
                        </w:r>
                        <w:r>
                          <w:rPr>
                            <w:spacing w:val="-18"/>
                            <w:sz w:val="28"/>
                          </w:rPr>
                          <w:t>含姓名、國民身</w:t>
                        </w:r>
                      </w:p>
                      <w:p>
                        <w:pPr>
                          <w:pStyle w:val="TableParagraph"/>
                          <w:spacing w:line="237" w:lineRule="auto"/>
                          <w:ind w:left="21" w:right="7"/>
                          <w:jc w:val="both"/>
                          <w:rPr>
                            <w:rFonts w:ascii="標楷體" w:eastAsia="標楷體" w:hint="eastAsia"/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分證統一編號、住居所及電話號碼。如係法人</w:t>
                        </w:r>
                        <w:r>
                          <w:rPr>
                            <w:spacing w:val="-4"/>
                            <w:sz w:val="28"/>
                          </w:rPr>
                          <w:t>或其他設有管理人或代表人之團體，其名稱、</w:t>
                        </w:r>
                        <w:r>
                          <w:rPr>
                            <w:spacing w:val="-6"/>
                            <w:sz w:val="28"/>
                          </w:rPr>
                          <w:t>事務所或營業所，管理人或代表人之姓名、出</w:t>
                        </w:r>
                        <w:r>
                          <w:rPr>
                            <w:spacing w:val="-15"/>
                            <w:sz w:val="28"/>
                          </w:rPr>
                          <w:t>生年月日、住、居所、國民身分證統一編號。</w:t>
                        </w:r>
                        <w:r>
                          <w:rPr>
                            <w:rFonts w:ascii="標楷體" w:eastAsia="標楷體" w:hint="eastAsia"/>
                            <w:sz w:val="28"/>
                          </w:rPr>
                          <w:t>)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Courier New"/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Courier New"/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□未附</w:t>
                        </w:r>
                      </w:p>
                    </w:tc>
                  </w:tr>
                  <w:tr>
                    <w:trPr>
                      <w:trHeight w:val="410" w:hRule="exact"/>
                    </w:trPr>
                    <w:tc>
                      <w:tcPr>
                        <w:tcW w:w="1469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92"/>
                          <w:ind w:left="2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活動企劃書</w:t>
                        </w:r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主辦、合辦、協辦及指導單位全銜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39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39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425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before="3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舉辦期間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46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46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442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before="23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活動時間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53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53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375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20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活動目的及參加對象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20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20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432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before="11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活動流程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49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49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737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清潔及維護安全計畫</w:t>
                        </w:r>
                        <w:r>
                          <w:rPr>
                            <w:rFonts w:ascii="Times New Roman" w:eastAsia="Times New Roman"/>
                            <w:sz w:val="28"/>
                          </w:rPr>
                          <w:t>(</w:t>
                        </w:r>
                        <w:r>
                          <w:rPr>
                            <w:sz w:val="28"/>
                          </w:rPr>
                          <w:t>電器設備維護、緊急事</w:t>
                        </w:r>
                      </w:p>
                      <w:p>
                        <w:pPr>
                          <w:pStyle w:val="TableParagraph"/>
                          <w:spacing w:line="368" w:lineRule="exact"/>
                          <w:ind w:left="21"/>
                          <w:rPr>
                            <w:rFonts w:ascii="Times New Roman" w:eastAsia="Times New Roman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件處理及復原計畫</w:t>
                        </w:r>
                        <w:r>
                          <w:rPr>
                            <w:rFonts w:ascii="Times New Roman" w:eastAsia="Times New Roman"/>
                            <w:sz w:val="28"/>
                          </w:rPr>
                          <w:t>)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35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before="135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432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before="11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設備需求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349" w:lineRule="exact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line="349" w:lineRule="exact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1104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23"/>
                          <w:rPr>
                            <w:sz w:val="28"/>
                          </w:rPr>
                        </w:pPr>
                        <w:r>
                          <w:rPr>
                            <w:spacing w:val="-12"/>
                            <w:sz w:val="28"/>
                          </w:rPr>
                          <w:t>活動計畫範圍圖、活動用舞台之規模圖</w:t>
                        </w:r>
                        <w:r>
                          <w:rPr>
                            <w:rFonts w:ascii="Times New Roman" w:eastAsia="Times New Roman"/>
                            <w:spacing w:val="-3"/>
                            <w:sz w:val="28"/>
                          </w:rPr>
                          <w:t>(</w:t>
                        </w:r>
                        <w:r>
                          <w:rPr>
                            <w:sz w:val="28"/>
                          </w:rPr>
                          <w:t>含使用</w:t>
                        </w:r>
                      </w:p>
                      <w:p>
                        <w:pPr>
                          <w:pStyle w:val="TableParagraph"/>
                          <w:spacing w:line="364" w:lineRule="exact" w:before="16"/>
                          <w:ind w:left="23" w:right="-11"/>
                          <w:rPr>
                            <w:rFonts w:ascii="標楷體" w:eastAsia="標楷體" w:hint="eastAsia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面積、攤位尺寸及高度、攤位間距離及展示方式</w:t>
                        </w:r>
                        <w:r>
                          <w:rPr>
                            <w:rFonts w:ascii="標楷體" w:eastAsia="標楷體" w:hint="eastAsia"/>
                            <w:sz w:val="28"/>
                          </w:rPr>
                          <w:t>)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737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活動需張貼之海報、宣傳標語與其他文宣品，</w:t>
                        </w:r>
                      </w:p>
                      <w:p>
                        <w:pPr>
                          <w:pStyle w:val="TableParagraph"/>
                          <w:spacing w:line="364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其內容、張貼地點與方式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35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spacing w:before="135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  <w:tr>
                    <w:trPr>
                      <w:trHeight w:val="1469" w:hRule="exact"/>
                    </w:trPr>
                    <w:tc>
                      <w:tcPr>
                        <w:tcW w:w="1469" w:type="dxa"/>
                        <w:vMerge/>
                      </w:tcPr>
                      <w:p>
                        <w:pPr/>
                      </w:p>
                    </w:tc>
                    <w:tc>
                      <w:tcPr>
                        <w:tcW w:w="5642" w:type="dxa"/>
                      </w:tcPr>
                      <w:p>
                        <w:pPr>
                          <w:pStyle w:val="TableParagraph"/>
                          <w:spacing w:line="320" w:lineRule="exact"/>
                          <w:ind w:left="2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活動攤商名冊</w:t>
                        </w:r>
                        <w:r>
                          <w:rPr>
                            <w:rFonts w:ascii="標楷體" w:eastAsia="標楷體" w:hint="eastAsia"/>
                            <w:sz w:val="28"/>
                          </w:rPr>
                          <w:t>(</w:t>
                        </w:r>
                        <w:r>
                          <w:rPr>
                            <w:sz w:val="28"/>
                          </w:rPr>
                          <w:t>含營利事業統一編號、聯絡方</w:t>
                        </w:r>
                      </w:p>
                      <w:p>
                        <w:pPr>
                          <w:pStyle w:val="TableParagraph"/>
                          <w:ind w:left="21" w:right="13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式及攤位商品種類，若屬國稅單位查定課徵者，則請填寫自然人國民身分證統一編號</w:t>
                        </w:r>
                        <w:r>
                          <w:rPr>
                            <w:rFonts w:ascii="標楷體" w:eastAsia="標楷體" w:hint="eastAsia"/>
                            <w:sz w:val="28"/>
                          </w:rPr>
                          <w:t>)</w:t>
                        </w:r>
                        <w:r>
                          <w:rPr>
                            <w:sz w:val="28"/>
                          </w:rPr>
                          <w:t>、國稅局查定課徵相關書面資料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84"/>
                          <w:ind w:left="95" w:right="9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□檢附</w:t>
                        </w:r>
                      </w:p>
                    </w:tc>
                    <w:tc>
                      <w:tcPr>
                        <w:tcW w:w="1200" w:type="dxa"/>
                      </w:tcPr>
                      <w:p>
                        <w:pPr>
                          <w:pStyle w:val="TableParagraph"/>
                          <w:rPr>
                            <w:rFonts w:ascii="Courier New"/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84"/>
                          <w:ind w:left="15" w:righ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□需補件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微軟正黑體" w:eastAsia="微軟正黑體" w:hint="eastAsia"/>
          <w:b/>
          <w:sz w:val="28"/>
        </w:rPr>
        <w:t>申請人：</w:t>
        <w:tab/>
        <w:t>填表日期：</w:t>
      </w: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rPr>
          <w:rFonts w:ascii="微軟正黑體"/>
          <w:b/>
          <w:sz w:val="28"/>
        </w:rPr>
      </w:pPr>
    </w:p>
    <w:p>
      <w:pPr>
        <w:pStyle w:val="BodyText"/>
        <w:spacing w:before="3"/>
        <w:rPr>
          <w:rFonts w:ascii="微軟正黑體"/>
          <w:b/>
          <w:sz w:val="39"/>
        </w:rPr>
      </w:pPr>
    </w:p>
    <w:p>
      <w:pPr>
        <w:pStyle w:val="Heading4"/>
        <w:spacing w:line="175" w:lineRule="auto"/>
        <w:ind w:left="821" w:right="108" w:hanging="704"/>
        <w:jc w:val="both"/>
        <w:rPr>
          <w:rFonts w:ascii="Courier New" w:eastAsia="Courier New"/>
        </w:rPr>
      </w:pPr>
      <w:r>
        <w:rPr>
          <w:spacing w:val="-6"/>
        </w:rPr>
        <w:t>備註：申請人勾選「需補件」時，應自市場處通知之日起 </w:t>
      </w:r>
      <w:r>
        <w:rPr>
          <w:rFonts w:ascii="Courier New" w:eastAsia="Courier New"/>
        </w:rPr>
        <w:t>3</w:t>
      </w:r>
      <w:r>
        <w:rPr>
          <w:rFonts w:ascii="Courier New" w:eastAsia="Courier New"/>
          <w:spacing w:val="-96"/>
        </w:rPr>
        <w:t> </w:t>
      </w:r>
      <w:r>
        <w:rPr>
          <w:spacing w:val="-1"/>
        </w:rPr>
        <w:t>日內完成補件，逾期視同放棄補件權益。</w:t>
      </w:r>
      <w:r>
        <w:rPr>
          <w:rFonts w:ascii="Courier New" w:eastAsia="Courier New"/>
          <w:spacing w:val="-1"/>
        </w:rPr>
        <w:t>(</w:t>
      </w:r>
      <w:r>
        <w:rPr>
          <w:spacing w:val="-2"/>
        </w:rPr>
        <w:t>申請人於截止收件之日起 </w:t>
      </w:r>
      <w:r>
        <w:rPr>
          <w:rFonts w:ascii="Courier New" w:eastAsia="Courier New"/>
        </w:rPr>
        <w:t>3</w:t>
      </w:r>
      <w:r>
        <w:rPr>
          <w:rFonts w:ascii="Courier New" w:eastAsia="Courier New"/>
          <w:spacing w:val="-96"/>
        </w:rPr>
        <w:t> </w:t>
      </w:r>
      <w:r>
        <w:rPr/>
        <w:t>日內投件者，應於接獲市場處通知後，在市場處規</w:t>
      </w:r>
      <w:r>
        <w:rPr>
          <w:w w:val="95"/>
        </w:rPr>
        <w:t>定之截止收件時間前完成補件。</w:t>
      </w:r>
      <w:r>
        <w:rPr>
          <w:rFonts w:ascii="Courier New" w:eastAsia="Courier New"/>
          <w:w w:val="95"/>
        </w:rPr>
        <w:t>)</w:t>
      </w:r>
    </w:p>
    <w:p>
      <w:pPr>
        <w:spacing w:after="0" w:line="175" w:lineRule="auto"/>
        <w:jc w:val="both"/>
        <w:rPr>
          <w:rFonts w:ascii="Courier New" w:eastAsia="Courier New"/>
        </w:rPr>
        <w:sectPr>
          <w:footerReference w:type="default" r:id="rId5"/>
          <w:type w:val="continuous"/>
          <w:pgSz w:w="11910" w:h="16850"/>
          <w:pgMar w:footer="532" w:top="1100" w:bottom="720" w:left="1240" w:right="620"/>
          <w:pgNumType w:start="1"/>
        </w:sectPr>
      </w:pPr>
    </w:p>
    <w:p>
      <w:pPr>
        <w:spacing w:line="464" w:lineRule="exact" w:before="0"/>
        <w:ind w:left="2009" w:right="1921" w:firstLine="0"/>
        <w:jc w:val="center"/>
        <w:rPr>
          <w:rFonts w:ascii="微軟正黑體" w:eastAsia="微軟正黑體" w:hint="eastAsia"/>
          <w:b/>
          <w:sz w:val="36"/>
        </w:rPr>
      </w:pPr>
      <w:r>
        <w:rPr>
          <w:rFonts w:ascii="微軟正黑體" w:eastAsia="微軟正黑體" w:hint="eastAsia"/>
          <w:b/>
          <w:sz w:val="36"/>
        </w:rPr>
        <w:t>臺北市地下街商場廣場使用申請表</w:t>
      </w:r>
    </w:p>
    <w:p>
      <w:pPr>
        <w:pStyle w:val="BodyText"/>
        <w:spacing w:before="8"/>
        <w:rPr>
          <w:rFonts w:ascii="微軟正黑體"/>
          <w:b/>
          <w:sz w:val="49"/>
        </w:rPr>
      </w:pPr>
    </w:p>
    <w:p>
      <w:pPr>
        <w:spacing w:line="448" w:lineRule="auto" w:before="1"/>
        <w:ind w:left="118" w:right="632" w:firstLine="0"/>
        <w:jc w:val="left"/>
        <w:rPr>
          <w:sz w:val="32"/>
        </w:rPr>
      </w:pPr>
      <w:r>
        <w:rPr>
          <w:sz w:val="32"/>
        </w:rPr>
        <w:t>計畫名稱：＿＿＿＿＿＿＿＿＿＿＿＿＿＿＿＿＿＿＿＿＿ 申  請 人 ：＿＿＿＿＿＿＿＿＿＿＿＿＿＿＿＿＿＿＿＿＿</w:t>
      </w:r>
    </w:p>
    <w:p>
      <w:pPr>
        <w:pStyle w:val="ListParagraph"/>
        <w:numPr>
          <w:ilvl w:val="0"/>
          <w:numId w:val="1"/>
        </w:numPr>
        <w:tabs>
          <w:tab w:pos="598" w:val="left" w:leader="none"/>
          <w:tab w:pos="599" w:val="left" w:leader="none"/>
        </w:tabs>
        <w:spacing w:line="315" w:lineRule="exact" w:before="51" w:after="0"/>
        <w:ind w:left="598" w:right="0" w:hanging="480"/>
        <w:jc w:val="left"/>
        <w:rPr>
          <w:sz w:val="24"/>
        </w:rPr>
      </w:pPr>
      <w:r>
        <w:rPr>
          <w:spacing w:val="-1"/>
          <w:sz w:val="24"/>
        </w:rPr>
        <w:t>申請人送件至場地管理機關</w:t>
      </w:r>
      <w:r>
        <w:rPr>
          <w:rFonts w:ascii="Times New Roman" w:eastAsia="Times New Roman"/>
          <w:sz w:val="24"/>
        </w:rPr>
        <w:t>(</w:t>
      </w:r>
      <w:r>
        <w:rPr>
          <w:sz w:val="24"/>
        </w:rPr>
        <w:t>臺北市市場處</w:t>
      </w:r>
      <w:r>
        <w:rPr>
          <w:rFonts w:ascii="Times New Roman" w:eastAsia="Times New Roman"/>
          <w:sz w:val="24"/>
        </w:rPr>
        <w:t>)</w:t>
      </w:r>
      <w:r>
        <w:rPr>
          <w:sz w:val="24"/>
        </w:rPr>
        <w:t>後，無論許可與否，概不退件。</w:t>
      </w:r>
    </w:p>
    <w:p>
      <w:pPr>
        <w:pStyle w:val="ListParagraph"/>
        <w:numPr>
          <w:ilvl w:val="0"/>
          <w:numId w:val="1"/>
        </w:numPr>
        <w:tabs>
          <w:tab w:pos="598" w:val="left" w:leader="none"/>
          <w:tab w:pos="599" w:val="left" w:leader="none"/>
        </w:tabs>
        <w:spacing w:line="311" w:lineRule="exact" w:before="0" w:after="0"/>
        <w:ind w:left="598" w:right="0" w:hanging="480"/>
        <w:jc w:val="left"/>
        <w:rPr>
          <w:sz w:val="24"/>
        </w:rPr>
      </w:pPr>
      <w:r>
        <w:rPr>
          <w:spacing w:val="-14"/>
          <w:sz w:val="24"/>
        </w:rPr>
        <w:t>申請人已詳讀「臺北市地下街廣場使用管理要點」相關規定，並同意遵守相關規範。</w:t>
      </w:r>
    </w:p>
    <w:p>
      <w:pPr>
        <w:pStyle w:val="ListParagraph"/>
        <w:numPr>
          <w:ilvl w:val="0"/>
          <w:numId w:val="1"/>
        </w:numPr>
        <w:tabs>
          <w:tab w:pos="598" w:val="left" w:leader="none"/>
          <w:tab w:pos="599" w:val="left" w:leader="none"/>
        </w:tabs>
        <w:spacing w:line="312" w:lineRule="exact" w:before="15" w:after="0"/>
        <w:ind w:left="598" w:right="173" w:hanging="480"/>
        <w:jc w:val="left"/>
        <w:rPr>
          <w:sz w:val="24"/>
        </w:rPr>
      </w:pPr>
      <w:r>
        <w:rPr>
          <w:spacing w:val="-4"/>
          <w:sz w:val="24"/>
        </w:rPr>
        <w:t>茲申明申請文件所填內容與提供資料、附件等均屬事實無誤，申請人並負擔本文件內容之一切法律責任。</w:t>
      </w:r>
    </w:p>
    <w:p>
      <w:pPr>
        <w:pStyle w:val="BodyText"/>
      </w:pPr>
    </w:p>
    <w:p>
      <w:pPr>
        <w:pStyle w:val="BodyText"/>
        <w:spacing w:before="5"/>
        <w:rPr>
          <w:sz w:val="17"/>
        </w:rPr>
      </w:pPr>
    </w:p>
    <w:p>
      <w:pPr>
        <w:spacing w:before="0"/>
        <w:ind w:left="1866" w:right="1921" w:firstLine="0"/>
        <w:jc w:val="center"/>
        <w:rPr>
          <w:sz w:val="20"/>
        </w:rPr>
      </w:pPr>
      <w:r>
        <w:rPr>
          <w:w w:val="95"/>
          <w:sz w:val="20"/>
        </w:rPr>
        <w:t>（申請人與負責人印章）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rPr/>
        <w:pict>
          <v:rect style="position:absolute;margin-left:76.900002pt;margin-top:10.608652pt;width:216.0pt;height:163pt;mso-position-horizontal-relative:page;mso-position-vertical-relative:paragraph;z-index:1048;mso-wrap-distance-left:0;mso-wrap-distance-right:0" filled="false" stroked="true" strokeweight=".75pt" strokecolor="#000000">
            <v:stroke dashstyle="solid"/>
            <w10:wrap type="topAndBottom"/>
          </v:rect>
        </w:pict>
      </w:r>
      <w:r>
        <w:rPr/>
        <w:pict>
          <v:rect style="position:absolute;margin-left:346.899994pt;margin-top:92.10865pt;width:90pt;height:81.5pt;mso-position-horizontal-relative:page;mso-position-vertical-relative:paragraph;z-index:1072;mso-wrap-distance-left:0;mso-wrap-distance-right:0" filled="false" stroked="true" strokeweight=".75pt" strokecolor="#000000">
            <v:stroke dashstyl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3923" w:val="left" w:leader="none"/>
          <w:tab w:pos="6275" w:val="left" w:leader="none"/>
          <w:tab w:pos="8870" w:val="left" w:leader="none"/>
        </w:tabs>
        <w:spacing w:before="165"/>
        <w:ind w:left="118" w:right="0" w:firstLine="0"/>
        <w:jc w:val="left"/>
        <w:rPr>
          <w:sz w:val="32"/>
        </w:rPr>
      </w:pPr>
      <w:r>
        <w:rPr>
          <w:sz w:val="32"/>
        </w:rPr>
        <w:t>中 華</w:t>
      </w:r>
      <w:r>
        <w:rPr>
          <w:spacing w:val="-2"/>
          <w:sz w:val="32"/>
        </w:rPr>
        <w:t> </w:t>
      </w:r>
      <w:r>
        <w:rPr>
          <w:spacing w:val="3"/>
          <w:sz w:val="32"/>
        </w:rPr>
        <w:t>民</w:t>
      </w:r>
      <w:r>
        <w:rPr>
          <w:spacing w:val="-1"/>
          <w:sz w:val="32"/>
        </w:rPr>
        <w:t> </w:t>
      </w:r>
      <w:r>
        <w:rPr>
          <w:sz w:val="32"/>
        </w:rPr>
        <w:t>國</w:t>
        <w:tab/>
        <w:t>年</w:t>
        <w:tab/>
        <w:t>月</w:t>
        <w:tab/>
        <w:t>日</w:t>
      </w:r>
    </w:p>
    <w:p>
      <w:pPr>
        <w:spacing w:after="0"/>
        <w:jc w:val="left"/>
        <w:rPr>
          <w:sz w:val="32"/>
        </w:rPr>
        <w:sectPr>
          <w:pgSz w:w="11910" w:h="16850"/>
          <w:pgMar w:header="0" w:footer="532" w:top="1100" w:bottom="780" w:left="1300" w:right="1240"/>
        </w:sectPr>
      </w:pPr>
    </w:p>
    <w:tbl>
      <w:tblPr>
        <w:tblW w:w="0" w:type="auto"/>
        <w:jc w:val="left"/>
        <w:tblInd w:w="113" w:type="dxa"/>
        <w:tblBorders>
          <w:top w:val="single" w:sz="17" w:space="0" w:color="000000"/>
          <w:left w:val="single" w:sz="17" w:space="0" w:color="000000"/>
          <w:bottom w:val="single" w:sz="17" w:space="0" w:color="000000"/>
          <w:right w:val="single" w:sz="17" w:space="0" w:color="000000"/>
          <w:insideH w:val="single" w:sz="17" w:space="0" w:color="000000"/>
          <w:insideV w:val="single" w:sz="17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3"/>
        <w:gridCol w:w="3003"/>
        <w:gridCol w:w="694"/>
        <w:gridCol w:w="1344"/>
        <w:gridCol w:w="3476"/>
      </w:tblGrid>
      <w:tr>
        <w:trPr>
          <w:trHeight w:val="653" w:hRule="exact"/>
        </w:trPr>
        <w:tc>
          <w:tcPr>
            <w:tcW w:w="9640" w:type="dxa"/>
            <w:gridSpan w:val="5"/>
            <w:tcBorders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20"/>
              <w:ind w:left="4"/>
              <w:rPr>
                <w:sz w:val="24"/>
              </w:rPr>
            </w:pPr>
            <w:r>
              <w:rPr>
                <w:sz w:val="24"/>
              </w:rPr>
              <w:t>申請人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全銜</w:t>
            </w:r>
            <w:r>
              <w:rPr>
                <w:rFonts w:ascii="Times New Roman" w:eastAsia="Times New Roman"/>
                <w:sz w:val="24"/>
              </w:rPr>
              <w:t>)</w:t>
            </w:r>
            <w:r>
              <w:rPr>
                <w:sz w:val="24"/>
              </w:rPr>
              <w:t>：</w:t>
            </w:r>
          </w:p>
        </w:tc>
      </w:tr>
      <w:tr>
        <w:trPr>
          <w:trHeight w:val="634" w:hRule="exact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17"/>
              <w:ind w:left="4"/>
              <w:rPr>
                <w:sz w:val="24"/>
              </w:rPr>
            </w:pPr>
            <w:r>
              <w:rPr>
                <w:sz w:val="24"/>
              </w:rPr>
              <w:t>統一編號：</w:t>
            </w:r>
          </w:p>
        </w:tc>
      </w:tr>
      <w:tr>
        <w:trPr>
          <w:trHeight w:val="636" w:hRule="exac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/>
              <w:ind w:left="4"/>
              <w:rPr>
                <w:sz w:val="24"/>
              </w:rPr>
            </w:pPr>
            <w:r>
              <w:rPr>
                <w:sz w:val="24"/>
              </w:rPr>
              <w:t>負責人：</w:t>
            </w:r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20"/>
              <w:ind w:left="23"/>
              <w:rPr>
                <w:sz w:val="24"/>
              </w:rPr>
            </w:pPr>
            <w:r>
              <w:rPr>
                <w:sz w:val="24"/>
              </w:rPr>
              <w:t>職稱：</w:t>
            </w:r>
          </w:p>
        </w:tc>
      </w:tr>
      <w:tr>
        <w:trPr>
          <w:trHeight w:val="634" w:hRule="exac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7"/>
              <w:ind w:left="4"/>
              <w:rPr>
                <w:sz w:val="24"/>
              </w:rPr>
            </w:pPr>
            <w:r>
              <w:rPr>
                <w:sz w:val="24"/>
              </w:rPr>
              <w:t>聯絡人：</w:t>
            </w:r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17"/>
              <w:ind w:left="23"/>
              <w:rPr>
                <w:sz w:val="24"/>
              </w:rPr>
            </w:pPr>
            <w:r>
              <w:rPr>
                <w:sz w:val="24"/>
              </w:rPr>
              <w:t>職稱：</w:t>
            </w:r>
          </w:p>
        </w:tc>
      </w:tr>
      <w:tr>
        <w:trPr>
          <w:trHeight w:val="634" w:hRule="exact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17"/>
              <w:ind w:left="4"/>
              <w:rPr>
                <w:sz w:val="24"/>
              </w:rPr>
            </w:pPr>
            <w:r>
              <w:rPr>
                <w:sz w:val="24"/>
              </w:rPr>
              <w:t>立案地址：</w:t>
            </w:r>
          </w:p>
        </w:tc>
      </w:tr>
      <w:tr>
        <w:trPr>
          <w:trHeight w:val="634" w:hRule="exact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83"/>
              <w:ind w:left="4"/>
              <w:rPr>
                <w:sz w:val="28"/>
              </w:rPr>
            </w:pPr>
            <w:r>
              <w:rPr>
                <w:sz w:val="24"/>
              </w:rPr>
              <w:t>通訊地址：</w:t>
            </w:r>
            <w:r>
              <w:rPr>
                <w:sz w:val="28"/>
              </w:rPr>
              <w:t>□□□</w:t>
            </w:r>
          </w:p>
        </w:tc>
      </w:tr>
      <w:tr>
        <w:trPr>
          <w:trHeight w:val="634" w:hRule="exact"/>
        </w:trPr>
        <w:tc>
          <w:tcPr>
            <w:tcW w:w="4820" w:type="dxa"/>
            <w:gridSpan w:val="3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8"/>
              <w:ind w:left="4"/>
              <w:rPr>
                <w:sz w:val="24"/>
              </w:rPr>
            </w:pPr>
            <w:r>
              <w:rPr>
                <w:sz w:val="24"/>
              </w:rPr>
              <w:t>聯絡電話：</w:t>
            </w:r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18"/>
              <w:ind w:left="23"/>
              <w:rPr>
                <w:sz w:val="24"/>
              </w:rPr>
            </w:pPr>
            <w:r>
              <w:rPr>
                <w:sz w:val="24"/>
              </w:rPr>
              <w:t>傳真電話：</w:t>
            </w:r>
          </w:p>
        </w:tc>
      </w:tr>
      <w:tr>
        <w:trPr>
          <w:trHeight w:val="965" w:hRule="exact"/>
        </w:trPr>
        <w:tc>
          <w:tcPr>
            <w:tcW w:w="9640" w:type="dxa"/>
            <w:gridSpan w:val="5"/>
            <w:tcBorders>
              <w:top w:val="single" w:sz="4" w:space="0" w:color="000000"/>
              <w:left w:val="single" w:sz="17" w:space="0" w:color="000000"/>
              <w:right w:val="single" w:sz="17" w:space="0" w:color="000000"/>
            </w:tcBorders>
          </w:tcPr>
          <w:p>
            <w:pPr>
              <w:pStyle w:val="TableParagraph"/>
              <w:tabs>
                <w:tab w:pos="4805" w:val="left" w:leader="none"/>
              </w:tabs>
              <w:spacing w:line="281" w:lineRule="exact"/>
              <w:ind w:left="4"/>
              <w:rPr>
                <w:rFonts w:ascii="微軟正黑體" w:eastAsia="微軟正黑體" w:hint="eastAsia"/>
                <w:b/>
                <w:sz w:val="24"/>
              </w:rPr>
            </w:pPr>
            <w:r>
              <w:rPr>
                <w:sz w:val="24"/>
              </w:rPr>
              <w:t>手機：</w:t>
              <w:tab/>
            </w:r>
            <w:r>
              <w:rPr>
                <w:rFonts w:ascii="Times New Roman" w:eastAsia="Times New Roman"/>
                <w:b/>
                <w:sz w:val="24"/>
              </w:rPr>
              <w:t>e-mail</w:t>
            </w:r>
            <w:r>
              <w:rPr>
                <w:rFonts w:ascii="微軟正黑體" w:eastAsia="微軟正黑體" w:hint="eastAsia"/>
                <w:b/>
                <w:sz w:val="24"/>
              </w:rPr>
              <w:t>：</w:t>
            </w:r>
          </w:p>
          <w:p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備註：</w:t>
            </w:r>
            <w:r>
              <w:rPr>
                <w:rFonts w:ascii="Times New Roman" w:eastAsia="Times New Roman"/>
                <w:sz w:val="24"/>
              </w:rPr>
              <w:t>1.</w:t>
            </w:r>
            <w:r>
              <w:rPr>
                <w:sz w:val="24"/>
              </w:rPr>
              <w:t>以上資料如為共同申請，則皆須填寫。</w:t>
            </w:r>
          </w:p>
          <w:p>
            <w:pPr>
              <w:pStyle w:val="TableParagraph"/>
              <w:spacing w:line="371" w:lineRule="exact"/>
              <w:ind w:left="724"/>
              <w:rPr>
                <w:rFonts w:ascii="微軟正黑體" w:eastAsia="微軟正黑體" w:hint="eastAsia"/>
                <w:b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2.</w:t>
            </w:r>
            <w:r>
              <w:rPr>
                <w:sz w:val="24"/>
              </w:rPr>
              <w:t>以上聯絡方式</w:t>
            </w:r>
            <w:r>
              <w:rPr>
                <w:rFonts w:ascii="微軟正黑體" w:eastAsia="微軟正黑體" w:hint="eastAsia"/>
                <w:b/>
                <w:sz w:val="24"/>
              </w:rPr>
              <w:t>於申請及活動期間請務必保持連繫暢通。</w:t>
            </w:r>
          </w:p>
        </w:tc>
      </w:tr>
      <w:tr>
        <w:trPr>
          <w:trHeight w:val="650" w:hRule="exact"/>
        </w:trPr>
        <w:tc>
          <w:tcPr>
            <w:tcW w:w="9640" w:type="dxa"/>
            <w:gridSpan w:val="5"/>
            <w:tcBorders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17"/>
              <w:ind w:left="4"/>
              <w:rPr>
                <w:sz w:val="20"/>
              </w:rPr>
            </w:pPr>
            <w:r>
              <w:rPr>
                <w:spacing w:val="-11"/>
                <w:sz w:val="24"/>
              </w:rPr>
              <w:t>近三年舉辦過之活動：</w:t>
            </w:r>
            <w:r>
              <w:rPr>
                <w:spacing w:val="2"/>
                <w:w w:val="99"/>
                <w:sz w:val="20"/>
              </w:rPr>
              <w:t>（</w:t>
            </w:r>
            <w:r>
              <w:rPr>
                <w:w w:val="99"/>
                <w:sz w:val="20"/>
              </w:rPr>
              <w:t>可檢附相關資料）</w:t>
            </w:r>
          </w:p>
        </w:tc>
      </w:tr>
      <w:tr>
        <w:trPr>
          <w:trHeight w:val="636" w:hRule="exact"/>
        </w:trPr>
        <w:tc>
          <w:tcPr>
            <w:tcW w:w="4126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/>
              <w:ind w:left="1541" w:right="1558"/>
              <w:jc w:val="center"/>
              <w:rPr>
                <w:sz w:val="24"/>
              </w:rPr>
            </w:pPr>
            <w:r>
              <w:rPr>
                <w:sz w:val="24"/>
              </w:rPr>
              <w:t>活動名稱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0"/>
              <w:ind w:left="754" w:right="754"/>
              <w:jc w:val="center"/>
              <w:rPr>
                <w:sz w:val="24"/>
              </w:rPr>
            </w:pPr>
            <w:r>
              <w:rPr>
                <w:sz w:val="24"/>
              </w:rPr>
              <w:t>時間</w:t>
            </w:r>
          </w:p>
        </w:tc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20"/>
              <w:ind w:left="1470" w:right="1458"/>
              <w:jc w:val="center"/>
              <w:rPr>
                <w:sz w:val="24"/>
              </w:rPr>
            </w:pPr>
            <w:r>
              <w:rPr>
                <w:sz w:val="24"/>
              </w:rPr>
              <w:t>地點</w:t>
            </w:r>
          </w:p>
        </w:tc>
      </w:tr>
      <w:tr>
        <w:trPr>
          <w:trHeight w:val="634" w:hRule="exact"/>
        </w:trPr>
        <w:tc>
          <w:tcPr>
            <w:tcW w:w="4126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/>
          </w:p>
        </w:tc>
      </w:tr>
      <w:tr>
        <w:trPr>
          <w:trHeight w:val="634" w:hRule="exact"/>
        </w:trPr>
        <w:tc>
          <w:tcPr>
            <w:tcW w:w="4126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/>
          </w:p>
        </w:tc>
      </w:tr>
      <w:tr>
        <w:trPr>
          <w:trHeight w:val="650" w:hRule="exact"/>
        </w:trPr>
        <w:tc>
          <w:tcPr>
            <w:tcW w:w="4126" w:type="dxa"/>
            <w:gridSpan w:val="2"/>
            <w:tcBorders>
              <w:top w:val="single" w:sz="4" w:space="0" w:color="000000"/>
              <w:left w:val="single" w:sz="17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476" w:type="dxa"/>
            <w:tcBorders>
              <w:top w:val="single" w:sz="4" w:space="0" w:color="000000"/>
              <w:left w:val="single" w:sz="4" w:space="0" w:color="000000"/>
              <w:right w:val="single" w:sz="17" w:space="0" w:color="000000"/>
            </w:tcBorders>
          </w:tcPr>
          <w:p>
            <w:pPr/>
          </w:p>
        </w:tc>
      </w:tr>
      <w:tr>
        <w:trPr>
          <w:trHeight w:val="653" w:hRule="exact"/>
        </w:trPr>
        <w:tc>
          <w:tcPr>
            <w:tcW w:w="9640" w:type="dxa"/>
            <w:gridSpan w:val="5"/>
            <w:tcBorders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>
            <w:pPr>
              <w:pStyle w:val="TableParagraph"/>
              <w:spacing w:before="120"/>
              <w:ind w:left="4"/>
              <w:rPr>
                <w:sz w:val="24"/>
              </w:rPr>
            </w:pPr>
            <w:r>
              <w:rPr>
                <w:sz w:val="24"/>
              </w:rPr>
              <w:t>共同辦理單位：</w:t>
            </w:r>
          </w:p>
        </w:tc>
      </w:tr>
      <w:tr>
        <w:trPr>
          <w:trHeight w:val="634" w:hRule="exact"/>
        </w:trPr>
        <w:tc>
          <w:tcPr>
            <w:tcW w:w="1123" w:type="dxa"/>
            <w:vMerge w:val="restart"/>
            <w:tcBorders>
              <w:top w:val="single" w:sz="4" w:space="0" w:color="000000"/>
              <w:left w:val="single" w:sz="17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33"/>
              </w:rPr>
            </w:pPr>
          </w:p>
          <w:p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主辦單位</w:t>
            </w:r>
          </w:p>
        </w:tc>
        <w:tc>
          <w:tcPr>
            <w:tcW w:w="8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/>
          </w:p>
        </w:tc>
      </w:tr>
      <w:tr>
        <w:trPr>
          <w:trHeight w:val="634" w:hRule="exact"/>
        </w:trPr>
        <w:tc>
          <w:tcPr>
            <w:tcW w:w="1123" w:type="dxa"/>
            <w:vMerge/>
            <w:tcBorders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8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/>
          </w:p>
        </w:tc>
      </w:tr>
      <w:tr>
        <w:trPr>
          <w:trHeight w:val="634" w:hRule="exact"/>
        </w:trPr>
        <w:tc>
          <w:tcPr>
            <w:tcW w:w="1123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7"/>
              <w:ind w:left="38" w:right="57"/>
              <w:jc w:val="center"/>
              <w:rPr>
                <w:sz w:val="24"/>
              </w:rPr>
            </w:pPr>
            <w:r>
              <w:rPr>
                <w:sz w:val="24"/>
              </w:rPr>
              <w:t>協辦單位</w:t>
            </w:r>
          </w:p>
        </w:tc>
        <w:tc>
          <w:tcPr>
            <w:tcW w:w="8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>
            <w:pPr/>
          </w:p>
        </w:tc>
      </w:tr>
      <w:tr>
        <w:trPr>
          <w:trHeight w:val="651" w:hRule="exact"/>
        </w:trPr>
        <w:tc>
          <w:tcPr>
            <w:tcW w:w="1123" w:type="dxa"/>
            <w:tcBorders>
              <w:top w:val="single" w:sz="4" w:space="0" w:color="000000"/>
              <w:left w:val="single" w:sz="17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8"/>
              <w:ind w:left="38" w:right="57"/>
              <w:jc w:val="center"/>
              <w:rPr>
                <w:sz w:val="24"/>
              </w:rPr>
            </w:pPr>
            <w:r>
              <w:rPr>
                <w:sz w:val="24"/>
              </w:rPr>
              <w:t>指導單位</w:t>
            </w:r>
          </w:p>
        </w:tc>
        <w:tc>
          <w:tcPr>
            <w:tcW w:w="8517" w:type="dxa"/>
            <w:gridSpan w:val="4"/>
            <w:tcBorders>
              <w:top w:val="single" w:sz="4" w:space="0" w:color="000000"/>
              <w:left w:val="single" w:sz="4" w:space="0" w:color="000000"/>
              <w:right w:val="single" w:sz="17" w:space="0" w:color="000000"/>
            </w:tcBorders>
          </w:tcPr>
          <w:p>
            <w:pPr/>
          </w:p>
        </w:tc>
      </w:tr>
    </w:tbl>
    <w:p>
      <w:pPr>
        <w:spacing w:after="0"/>
        <w:sectPr>
          <w:pgSz w:w="11910" w:h="16850"/>
          <w:pgMar w:header="0" w:footer="532" w:top="1600" w:bottom="720" w:left="1000" w:right="980"/>
        </w:sectPr>
      </w:pPr>
    </w:p>
    <w:p>
      <w:pPr>
        <w:pStyle w:val="Heading3"/>
        <w:spacing w:line="315" w:lineRule="exact"/>
        <w:ind w:left="138"/>
      </w:pPr>
      <w:r>
        <w:rPr/>
        <w:t>清潔及維護安全計畫</w:t>
      </w:r>
    </w:p>
    <w:p>
      <w:pPr>
        <w:pStyle w:val="Heading4"/>
        <w:spacing w:line="360" w:lineRule="exact"/>
      </w:pPr>
      <w:r>
        <w:rPr>
          <w:spacing w:val="-7"/>
        </w:rPr>
        <w:t>範例：</w:t>
      </w:r>
      <w:r>
        <w:rPr/>
        <w:t>（</w:t>
      </w:r>
      <w:r>
        <w:rPr>
          <w:spacing w:val="26"/>
        </w:rPr>
        <w:t> 請依活動實際需求， 依下列綱要擬訂合宜計畫</w:t>
      </w:r>
      <w:r>
        <w:rPr/>
        <w:t>）</w:t>
      </w:r>
    </w:p>
    <w:p>
      <w:pPr>
        <w:pStyle w:val="BodyText"/>
        <w:tabs>
          <w:tab w:pos="858" w:val="left" w:leader="none"/>
        </w:tabs>
        <w:spacing w:line="307" w:lineRule="exact"/>
        <w:ind w:left="138"/>
      </w:pPr>
      <w:r>
        <w:rPr>
          <w:spacing w:val="38"/>
        </w:rPr>
        <w:t>一</w:t>
      </w:r>
      <w:r>
        <w:rPr/>
        <w:t>、</w:t>
        <w:tab/>
        <w:t>活動期間及結束後之場地清潔維護方案：</w:t>
      </w:r>
    </w:p>
    <w:p>
      <w:pPr>
        <w:pStyle w:val="BodyText"/>
        <w:spacing w:line="312" w:lineRule="exact"/>
        <w:ind w:left="138"/>
      </w:pPr>
      <w:r>
        <w:rPr/>
        <w:t>（一）環境清潔委託廠商、負責人及連絡電話。</w:t>
      </w:r>
    </w:p>
    <w:p>
      <w:pPr>
        <w:pStyle w:val="BodyText"/>
        <w:spacing w:line="312" w:lineRule="exact"/>
        <w:ind w:left="138"/>
      </w:pPr>
      <w:r>
        <w:rPr/>
        <w:t>（二）一般垃圾桶（應使用臺北市專用垃圾袋）及資源回收桶位置圖。</w:t>
      </w:r>
    </w:p>
    <w:p>
      <w:pPr>
        <w:pStyle w:val="BodyText"/>
        <w:spacing w:line="312" w:lineRule="exact"/>
        <w:ind w:left="138"/>
      </w:pPr>
      <w:r>
        <w:rPr/>
        <w:t>（三）派遣人力。</w:t>
      </w:r>
    </w:p>
    <w:p>
      <w:pPr>
        <w:pStyle w:val="BodyText"/>
        <w:spacing w:line="312" w:lineRule="exact"/>
        <w:ind w:left="138"/>
      </w:pPr>
      <w:r>
        <w:rPr/>
        <w:t>（四）執行方式。</w:t>
      </w:r>
    </w:p>
    <w:p>
      <w:pPr>
        <w:pStyle w:val="BodyText"/>
        <w:spacing w:line="312" w:lineRule="exact"/>
        <w:ind w:left="138"/>
      </w:pPr>
      <w:r>
        <w:rPr/>
        <w:t>（五）垃圾清運方式及時間。</w:t>
      </w:r>
    </w:p>
    <w:p>
      <w:pPr>
        <w:pStyle w:val="BodyText"/>
        <w:spacing w:line="312" w:lineRule="exact"/>
        <w:ind w:left="138"/>
      </w:pPr>
      <w:r>
        <w:rPr/>
        <w:t>（六）場地復原時間。</w:t>
      </w:r>
    </w:p>
    <w:p>
      <w:pPr>
        <w:pStyle w:val="BodyText"/>
        <w:tabs>
          <w:tab w:pos="858" w:val="left" w:leader="none"/>
        </w:tabs>
        <w:spacing w:line="312" w:lineRule="exact"/>
        <w:ind w:left="138"/>
      </w:pPr>
      <w:r>
        <w:rPr/>
        <w:t>二、</w:t>
        <w:tab/>
        <w:t>活動期間安全維護方案：</w:t>
      </w:r>
    </w:p>
    <w:p>
      <w:pPr>
        <w:pStyle w:val="BodyText"/>
        <w:spacing w:line="312" w:lineRule="exact"/>
        <w:ind w:left="138"/>
      </w:pPr>
      <w:r>
        <w:rPr/>
        <w:t>（一）各管制道路出入口設置指示牌。</w:t>
      </w:r>
    </w:p>
    <w:p>
      <w:pPr>
        <w:pStyle w:val="BodyText"/>
        <w:spacing w:line="312" w:lineRule="exact"/>
        <w:ind w:left="138"/>
      </w:pPr>
      <w:r>
        <w:rPr/>
        <w:t>（二）休息區及雜物不占據走道，以利行人通行。</w:t>
      </w:r>
    </w:p>
    <w:p>
      <w:pPr>
        <w:pStyle w:val="BodyText"/>
        <w:ind w:left="858" w:right="112" w:hanging="720"/>
        <w:jc w:val="both"/>
      </w:pPr>
      <w:r>
        <w:rPr>
          <w:spacing w:val="-2"/>
        </w:rPr>
        <w:t>三、 安全秩序維護：為維持活動現場秩序及避免影響鄰近商家之營業，將加派○○位</w:t>
      </w:r>
      <w:r>
        <w:rPr>
          <w:spacing w:val="-8"/>
        </w:rPr>
        <w:t>保全人員、自組安全維護隊，活動全程派○○位工讀生著制服並配戴工作證以資辨識。現場並用黃色警示繩區隔現場，以維持現場秩序並確保人員安全。</w:t>
      </w:r>
    </w:p>
    <w:p>
      <w:pPr>
        <w:pStyle w:val="BodyText"/>
        <w:tabs>
          <w:tab w:pos="858" w:val="left" w:leader="none"/>
        </w:tabs>
        <w:spacing w:line="266" w:lineRule="exact" w:before="1"/>
        <w:ind w:left="138"/>
      </w:pPr>
      <w:r>
        <w:rPr/>
        <w:t>四、</w:t>
        <w:tab/>
        <w:t>公共安全維護：為確保活動安全進行，將留設足供消防救災出入之空間。</w:t>
      </w:r>
    </w:p>
    <w:p>
      <w:pPr>
        <w:pStyle w:val="BodyText"/>
        <w:spacing w:line="364" w:lineRule="exact"/>
        <w:ind w:left="138"/>
      </w:pPr>
      <w:r>
        <w:rPr>
          <w:rFonts w:ascii="微軟正黑體" w:eastAsia="微軟正黑體" w:hint="eastAsia"/>
          <w:b/>
        </w:rPr>
        <w:t>備註： </w:t>
      </w:r>
      <w:r>
        <w:rPr/>
        <w:t>申請人應於活動計畫書中擬定清潔維護計畫，如有未完成場地清潔或垃圾清運</w:t>
      </w:r>
    </w:p>
    <w:p>
      <w:pPr>
        <w:pStyle w:val="BodyText"/>
        <w:spacing w:line="306" w:lineRule="exact"/>
        <w:ind w:left="978"/>
      </w:pPr>
      <w:r>
        <w:rPr/>
        <w:t>之情形，場地管理機關得委託廠商逕行清理，所需費用由保證金中扣除。</w:t>
      </w:r>
    </w:p>
    <w:p>
      <w:pPr>
        <w:pStyle w:val="Heading3"/>
        <w:spacing w:line="435" w:lineRule="exact" w:before="4"/>
        <w:ind w:left="138"/>
      </w:pPr>
      <w:r>
        <w:rPr/>
        <w:t>電器設備維護、緊急事件處理及復原計畫</w:t>
      </w:r>
    </w:p>
    <w:p>
      <w:pPr>
        <w:pStyle w:val="Heading4"/>
        <w:spacing w:line="366" w:lineRule="exact"/>
      </w:pPr>
      <w:r>
        <w:rPr>
          <w:spacing w:val="-7"/>
        </w:rPr>
        <w:t>範例：</w:t>
      </w:r>
      <w:r>
        <w:rPr/>
        <w:t>（</w:t>
      </w:r>
      <w:r>
        <w:rPr>
          <w:spacing w:val="26"/>
        </w:rPr>
        <w:t> 請依活動實際需求， 擬訂合宜計畫</w:t>
      </w:r>
      <w:r>
        <w:rPr/>
        <w:t>）</w:t>
      </w:r>
    </w:p>
    <w:p>
      <w:pPr>
        <w:tabs>
          <w:tab w:pos="858" w:val="left" w:leader="none"/>
        </w:tabs>
        <w:spacing w:line="230" w:lineRule="auto" w:before="184"/>
        <w:ind w:left="138" w:right="7265" w:firstLine="0"/>
        <w:jc w:val="left"/>
        <w:rPr>
          <w:sz w:val="24"/>
        </w:rPr>
      </w:pPr>
      <w:r>
        <w:rPr>
          <w:rFonts w:ascii="微軟正黑體" w:eastAsia="微軟正黑體" w:hint="eastAsia"/>
          <w:b/>
          <w:sz w:val="24"/>
        </w:rPr>
        <w:t>緊急事件處理： </w:t>
      </w:r>
      <w:r>
        <w:rPr>
          <w:sz w:val="24"/>
        </w:rPr>
        <w:t>一、</w:t>
        <w:tab/>
        <w:t>人為因素：</w:t>
      </w:r>
    </w:p>
    <w:p>
      <w:pPr>
        <w:spacing w:line="313" w:lineRule="exact" w:before="0"/>
        <w:ind w:left="138" w:right="0" w:firstLine="0"/>
        <w:jc w:val="left"/>
        <w:rPr>
          <w:sz w:val="24"/>
        </w:rPr>
      </w:pPr>
      <w:r>
        <w:rPr>
          <w:sz w:val="20"/>
        </w:rPr>
        <w:t>（一）   </w:t>
      </w:r>
      <w:r>
        <w:rPr>
          <w:sz w:val="24"/>
        </w:rPr>
        <w:t>縱火事件：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工作人員取用場內滅火器及消防沙滅火。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工作人員迅速通知當地醫療單位以給予傷患急救診治。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工作人員及負責播音服務人員安撫群眾疏導退場。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現場管理人員迅速通知消防隊及當地管區派出所前往緊急處理。</w:t>
      </w:r>
    </w:p>
    <w:p>
      <w:pPr>
        <w:spacing w:line="313" w:lineRule="exact" w:before="0"/>
        <w:ind w:left="138" w:right="0" w:firstLine="0"/>
        <w:jc w:val="left"/>
        <w:rPr>
          <w:sz w:val="24"/>
        </w:rPr>
      </w:pPr>
      <w:r>
        <w:rPr>
          <w:sz w:val="20"/>
        </w:rPr>
        <w:t>（二）   </w:t>
      </w:r>
      <w:r>
        <w:rPr>
          <w:sz w:val="24"/>
        </w:rPr>
        <w:t>建築結構或舞台設施倒塌崩陷：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3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工作人員迅速通知當地醫療單位以給予傷患急救診治。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現場管理人員連絡相關單位支援。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15" w:after="0"/>
        <w:ind w:left="1098" w:right="113" w:hanging="480"/>
        <w:jc w:val="left"/>
        <w:rPr>
          <w:sz w:val="24"/>
        </w:rPr>
      </w:pPr>
      <w:r>
        <w:rPr>
          <w:spacing w:val="-4"/>
          <w:sz w:val="24"/>
        </w:rPr>
        <w:t>負責播音人員和工作人員安撫群眾依序散場，注意老弱婦孺。迅速切斷電源開關。</w:t>
      </w:r>
    </w:p>
    <w:p>
      <w:pPr>
        <w:spacing w:line="296" w:lineRule="exact" w:before="0"/>
        <w:ind w:left="138" w:right="0" w:firstLine="0"/>
        <w:jc w:val="left"/>
        <w:rPr>
          <w:sz w:val="24"/>
        </w:rPr>
      </w:pPr>
      <w:r>
        <w:rPr>
          <w:sz w:val="20"/>
        </w:rPr>
        <w:t>（三）   </w:t>
      </w:r>
      <w:r>
        <w:rPr>
          <w:sz w:val="24"/>
        </w:rPr>
        <w:t>走火：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迅速切斷電源總開關。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其餘比照「縱火事件」處理。</w:t>
      </w:r>
    </w:p>
    <w:p>
      <w:pPr>
        <w:spacing w:line="312" w:lineRule="exact" w:before="0"/>
        <w:ind w:left="138" w:right="0" w:firstLine="0"/>
        <w:jc w:val="left"/>
        <w:rPr>
          <w:sz w:val="24"/>
        </w:rPr>
      </w:pPr>
      <w:r>
        <w:rPr>
          <w:sz w:val="20"/>
        </w:rPr>
        <w:t>（四）   </w:t>
      </w:r>
      <w:r>
        <w:rPr>
          <w:sz w:val="24"/>
        </w:rPr>
        <w:t>鬥毆傷害：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由工作人員告知安全警衛前往處理。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肇事人送交該區警察處理。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工作人員迅速通知當地醫療單位察看傷患，施予救治。</w:t>
      </w:r>
    </w:p>
    <w:p>
      <w:pPr>
        <w:spacing w:line="312" w:lineRule="exact" w:before="0"/>
        <w:ind w:left="138" w:right="0" w:firstLine="0"/>
        <w:jc w:val="left"/>
        <w:rPr>
          <w:sz w:val="24"/>
        </w:rPr>
      </w:pPr>
      <w:r>
        <w:rPr>
          <w:sz w:val="20"/>
        </w:rPr>
        <w:t>（五）   </w:t>
      </w:r>
      <w:r>
        <w:rPr>
          <w:sz w:val="24"/>
        </w:rPr>
        <w:t>暴動失控：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3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工作人員迅速通知當地醫療單位救治受傷群眾。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3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工作人員報警支援。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2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負責播音服務人員和工作人員及安全警衛安撫群眾，維持秩序。</w:t>
      </w:r>
    </w:p>
    <w:p>
      <w:pPr>
        <w:pStyle w:val="ListParagraph"/>
        <w:numPr>
          <w:ilvl w:val="1"/>
          <w:numId w:val="1"/>
        </w:numPr>
        <w:tabs>
          <w:tab w:pos="1098" w:val="left" w:leader="none"/>
          <w:tab w:pos="1099" w:val="left" w:leader="none"/>
        </w:tabs>
        <w:spacing w:line="313" w:lineRule="exact" w:before="0" w:after="0"/>
        <w:ind w:left="1098" w:right="0" w:hanging="480"/>
        <w:jc w:val="left"/>
        <w:rPr>
          <w:sz w:val="24"/>
        </w:rPr>
      </w:pPr>
      <w:r>
        <w:rPr>
          <w:sz w:val="24"/>
        </w:rPr>
        <w:t>工作人員迅速將老弱婦孺集中至預先設定之安全地帶。</w:t>
      </w:r>
    </w:p>
    <w:p>
      <w:pPr>
        <w:spacing w:after="0" w:line="313" w:lineRule="exact"/>
        <w:jc w:val="left"/>
        <w:rPr>
          <w:sz w:val="24"/>
        </w:rPr>
        <w:sectPr>
          <w:pgSz w:w="11910" w:h="16850"/>
          <w:pgMar w:header="0" w:footer="532" w:top="1220" w:bottom="720" w:left="1280" w:right="1300"/>
        </w:sectPr>
      </w:pPr>
    </w:p>
    <w:p>
      <w:pPr>
        <w:pStyle w:val="BodyText"/>
        <w:tabs>
          <w:tab w:pos="838" w:val="left" w:leader="none"/>
        </w:tabs>
        <w:spacing w:before="13"/>
        <w:ind w:left="118"/>
      </w:pPr>
      <w:r>
        <w:rPr>
          <w:spacing w:val="38"/>
        </w:rPr>
        <w:t>二</w:t>
      </w:r>
      <w:r>
        <w:rPr/>
        <w:t>、</w:t>
        <w:tab/>
        <w:t>天然因素：</w:t>
      </w:r>
    </w:p>
    <w:p>
      <w:pPr>
        <w:spacing w:line="313" w:lineRule="exact" w:before="0"/>
        <w:ind w:left="118" w:right="0" w:firstLine="0"/>
        <w:jc w:val="left"/>
        <w:rPr>
          <w:sz w:val="24"/>
        </w:rPr>
      </w:pPr>
      <w:r>
        <w:rPr>
          <w:sz w:val="20"/>
        </w:rPr>
        <w:t>（一）   </w:t>
      </w:r>
      <w:r>
        <w:rPr>
          <w:sz w:val="24"/>
        </w:rPr>
        <w:t>電力中斷：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現場管理人員與工作人員安撫群眾情緒。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若短時間無法修復則緊急暫停需要供電之活動項目。</w:t>
      </w:r>
    </w:p>
    <w:p>
      <w:pPr>
        <w:spacing w:line="312" w:lineRule="exact" w:before="0"/>
        <w:ind w:left="118" w:right="0" w:firstLine="0"/>
        <w:jc w:val="left"/>
        <w:rPr>
          <w:sz w:val="24"/>
        </w:rPr>
      </w:pPr>
      <w:r>
        <w:rPr>
          <w:sz w:val="20"/>
        </w:rPr>
        <w:t>（二）   </w:t>
      </w:r>
      <w:r>
        <w:rPr>
          <w:sz w:val="24"/>
        </w:rPr>
        <w:t>颱風、地震等不可抗拒之天災：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15" w:after="0"/>
        <w:ind w:left="1078" w:right="112" w:hanging="480"/>
        <w:jc w:val="left"/>
        <w:rPr>
          <w:sz w:val="24"/>
        </w:rPr>
      </w:pPr>
      <w:r>
        <w:rPr>
          <w:spacing w:val="-4"/>
          <w:sz w:val="24"/>
        </w:rPr>
        <w:t>若因颱風影響活動會場與群眾之安全性，由工作人員及負責播音服務人員宣布活動延期或中止，工作人員疏導群眾散場，並切斷電源。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296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若活動進行中遇地震應迅速切斷總電源開關，並疏導民眾至空曠處避難。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16" w:after="0"/>
        <w:ind w:left="1078" w:right="112" w:hanging="480"/>
        <w:jc w:val="left"/>
        <w:rPr>
          <w:sz w:val="24"/>
        </w:rPr>
      </w:pPr>
      <w:r>
        <w:rPr>
          <w:spacing w:val="-2"/>
          <w:sz w:val="24"/>
        </w:rPr>
        <w:t>若地震強度已影響到建築物之結構或會場內硬體製作物的負荷強度，基於安全理由應中止活動，迅速疏導群眾散場。</w:t>
      </w:r>
    </w:p>
    <w:p>
      <w:pPr>
        <w:spacing w:line="296" w:lineRule="exact" w:before="0"/>
        <w:ind w:left="118" w:right="0" w:firstLine="0"/>
        <w:jc w:val="left"/>
        <w:rPr>
          <w:sz w:val="24"/>
        </w:rPr>
      </w:pPr>
      <w:r>
        <w:rPr>
          <w:sz w:val="20"/>
        </w:rPr>
        <w:t>（三）   </w:t>
      </w:r>
      <w:r>
        <w:rPr>
          <w:sz w:val="24"/>
        </w:rPr>
        <w:t>炸彈：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15" w:after="0"/>
        <w:ind w:left="1078" w:right="113" w:hanging="480"/>
        <w:jc w:val="left"/>
        <w:rPr>
          <w:sz w:val="24"/>
        </w:rPr>
      </w:pPr>
      <w:r>
        <w:rPr>
          <w:spacing w:val="-5"/>
          <w:sz w:val="24"/>
        </w:rPr>
        <w:t>若未爆炸而及早發現，由服務人員及負責播音服務人員安撫群眾，並迅速先將鄰近此區之群眾撤離。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299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現場管理人員電話通知消防隊及當地管區派出所前往處理。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工作人員封鎖此區。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工作人員迅速通知當地醫療單位及安全警衛人員隨時待命。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0" w:after="0"/>
        <w:ind w:left="1078" w:right="0" w:hanging="480"/>
        <w:jc w:val="left"/>
        <w:rPr>
          <w:sz w:val="24"/>
        </w:rPr>
      </w:pPr>
      <w:r>
        <w:rPr>
          <w:spacing w:val="35"/>
          <w:sz w:val="24"/>
        </w:rPr>
        <w:t>若已爆炸如同「縱火事件」處理。</w:t>
      </w:r>
    </w:p>
    <w:p>
      <w:pPr>
        <w:spacing w:line="312" w:lineRule="exact" w:before="0"/>
        <w:ind w:left="118" w:right="0" w:firstLine="0"/>
        <w:jc w:val="left"/>
        <w:rPr>
          <w:sz w:val="24"/>
        </w:rPr>
      </w:pPr>
      <w:r>
        <w:rPr>
          <w:sz w:val="20"/>
        </w:rPr>
        <w:t>（四）   </w:t>
      </w:r>
      <w:r>
        <w:rPr>
          <w:sz w:val="24"/>
        </w:rPr>
        <w:t>槍擊：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0" w:after="0"/>
        <w:ind w:left="1078" w:right="0" w:hanging="480"/>
        <w:jc w:val="left"/>
        <w:rPr>
          <w:sz w:val="24"/>
        </w:rPr>
      </w:pPr>
      <w:r>
        <w:rPr>
          <w:sz w:val="24"/>
        </w:rPr>
        <w:t>負責播音人員及工作人員請群眾將身體壓低勿動。</w:t>
      </w:r>
    </w:p>
    <w:p>
      <w:pPr>
        <w:pStyle w:val="ListParagraph"/>
        <w:numPr>
          <w:ilvl w:val="1"/>
          <w:numId w:val="1"/>
        </w:numPr>
        <w:tabs>
          <w:tab w:pos="1078" w:val="left" w:leader="none"/>
          <w:tab w:pos="1079" w:val="left" w:leader="none"/>
        </w:tabs>
        <w:spacing w:line="312" w:lineRule="exact" w:before="15" w:after="0"/>
        <w:ind w:left="1078" w:right="112" w:hanging="480"/>
        <w:jc w:val="left"/>
        <w:rPr>
          <w:sz w:val="24"/>
        </w:rPr>
      </w:pPr>
      <w:r>
        <w:rPr>
          <w:spacing w:val="-2"/>
          <w:sz w:val="24"/>
        </w:rPr>
        <w:t>工作人員迅速通知當地醫療單位及安全警衛人員立即前往處理，並通知當地管區派出所前往現場。</w:t>
      </w:r>
    </w:p>
    <w:p>
      <w:pPr>
        <w:pStyle w:val="Heading4"/>
        <w:spacing w:line="410" w:lineRule="exact" w:before="168"/>
        <w:ind w:left="118"/>
      </w:pPr>
      <w:r>
        <w:rPr/>
        <w:t>復原計畫： </w:t>
      </w:r>
    </w:p>
    <w:p>
      <w:pPr>
        <w:pStyle w:val="BodyText"/>
        <w:tabs>
          <w:tab w:pos="838" w:val="left" w:leader="none"/>
        </w:tabs>
        <w:spacing w:line="312" w:lineRule="exact" w:before="8"/>
        <w:ind w:left="838" w:right="112" w:hanging="720"/>
      </w:pPr>
      <w:r>
        <w:rPr>
          <w:spacing w:val="38"/>
        </w:rPr>
        <w:t>一</w:t>
      </w:r>
      <w:r>
        <w:rPr/>
        <w:t>、</w:t>
        <w:tab/>
        <w:t>為避免破壞現有地</w:t>
      </w:r>
      <w:r>
        <w:rPr>
          <w:spacing w:val="-8"/>
        </w:rPr>
        <w:t>面</w:t>
      </w:r>
      <w:r>
        <w:rPr>
          <w:spacing w:val="-10"/>
        </w:rPr>
        <w:t>、</w:t>
      </w:r>
      <w:r>
        <w:rPr/>
        <w:t>天花板及公共設</w:t>
      </w:r>
      <w:r>
        <w:rPr>
          <w:spacing w:val="-7"/>
        </w:rPr>
        <w:t>施</w:t>
      </w:r>
      <w:r>
        <w:rPr>
          <w:spacing w:val="-8"/>
        </w:rPr>
        <w:t>，</w:t>
      </w:r>
      <w:r>
        <w:rPr>
          <w:spacing w:val="-3"/>
        </w:rPr>
        <w:t>現</w:t>
      </w:r>
      <w:r>
        <w:rPr/>
        <w:t>有活動告示牌及使用工程架</w:t>
      </w:r>
      <w:r>
        <w:rPr>
          <w:spacing w:val="-8"/>
        </w:rPr>
        <w:t>設，</w:t>
      </w:r>
      <w:r>
        <w:rPr/>
        <w:t>都以活動方式搭設，如造成毀損，應負修復全責。</w:t>
      </w:r>
    </w:p>
    <w:p>
      <w:pPr>
        <w:pStyle w:val="BodyText"/>
        <w:tabs>
          <w:tab w:pos="838" w:val="left" w:leader="none"/>
        </w:tabs>
        <w:spacing w:line="297" w:lineRule="exact"/>
        <w:ind w:left="118"/>
      </w:pPr>
      <w:r>
        <w:rPr>
          <w:spacing w:val="38"/>
        </w:rPr>
        <w:t>二</w:t>
      </w:r>
      <w:r>
        <w:rPr/>
        <w:t>、</w:t>
        <w:tab/>
        <w:t>活動結束後，以最迅速的方式將活動場地恢復原狀。</w:t>
      </w:r>
    </w:p>
    <w:p>
      <w:pPr>
        <w:pStyle w:val="BodyText"/>
        <w:tabs>
          <w:tab w:pos="838" w:val="left" w:leader="none"/>
        </w:tabs>
        <w:ind w:left="838" w:right="113" w:hanging="720"/>
      </w:pPr>
      <w:r>
        <w:rPr>
          <w:spacing w:val="38"/>
        </w:rPr>
        <w:t>三</w:t>
      </w:r>
      <w:r>
        <w:rPr/>
        <w:t>、</w:t>
        <w:tab/>
        <w:t>自組清潔維護</w:t>
      </w:r>
      <w:r>
        <w:rPr>
          <w:spacing w:val="-12"/>
        </w:rPr>
        <w:t>隊，</w:t>
      </w:r>
      <w:r>
        <w:rPr/>
        <w:t>活動結束後負責現場清潔及場地復原工</w:t>
      </w:r>
      <w:r>
        <w:rPr>
          <w:spacing w:val="-12"/>
        </w:rPr>
        <w:t>作，</w:t>
      </w:r>
      <w:r>
        <w:rPr/>
        <w:t>並立即將垃圾清離現場。</w:t>
      </w:r>
    </w:p>
    <w:p>
      <w:pPr>
        <w:pStyle w:val="BodyText"/>
        <w:spacing w:before="5"/>
        <w:rPr>
          <w:sz w:val="21"/>
        </w:rPr>
      </w:pPr>
    </w:p>
    <w:p>
      <w:pPr>
        <w:spacing w:line="288" w:lineRule="auto" w:before="1"/>
        <w:ind w:left="118" w:right="0" w:firstLine="0"/>
        <w:jc w:val="left"/>
        <w:rPr>
          <w:rFonts w:ascii="標楷體" w:eastAsia="標楷體" w:hint="eastAsia"/>
          <w:sz w:val="28"/>
        </w:rPr>
      </w:pPr>
      <w:r>
        <w:rPr>
          <w:rFonts w:ascii="微軟正黑體" w:eastAsia="微軟正黑體" w:hint="eastAsia"/>
          <w:b/>
          <w:sz w:val="28"/>
        </w:rPr>
        <w:t>活動計畫範圍圖、活動用舞台之規模圖</w:t>
      </w:r>
      <w:r>
        <w:rPr>
          <w:rFonts w:ascii="標楷體" w:eastAsia="標楷體" w:hint="eastAsia"/>
          <w:sz w:val="28"/>
        </w:rPr>
        <w:t>(</w:t>
      </w:r>
      <w:r>
        <w:rPr>
          <w:sz w:val="28"/>
        </w:rPr>
        <w:t>含使用面積、攤位尺寸及高度、攤位間距離、攤位商品種類及展示方式</w:t>
      </w:r>
      <w:r>
        <w:rPr>
          <w:rFonts w:ascii="標楷體" w:eastAsia="標楷體" w:hint="eastAsia"/>
          <w:sz w:val="28"/>
        </w:rPr>
        <w:t>)</w:t>
      </w:r>
    </w:p>
    <w:p>
      <w:pPr>
        <w:pStyle w:val="BodyText"/>
        <w:spacing w:line="230" w:lineRule="auto" w:before="146"/>
        <w:ind w:left="958" w:right="113" w:hanging="840"/>
      </w:pPr>
      <w:r>
        <w:rPr>
          <w:rFonts w:ascii="微軟正黑體" w:eastAsia="微軟正黑體" w:hint="eastAsia"/>
          <w:b/>
        </w:rPr>
        <w:t>備註：</w:t>
      </w:r>
      <w:r>
        <w:rPr/>
        <w:t>申請人違反規定者，應就因此所生之損害負賠償責任。必要時，場地管理機關</w:t>
      </w:r>
      <w:r>
        <w:rPr>
          <w:rFonts w:ascii="Times New Roman" w:eastAsia="Times New Roman"/>
        </w:rPr>
        <w:t>( </w:t>
      </w:r>
      <w:r>
        <w:rPr/>
        <w:t>臺北市市場處</w:t>
      </w:r>
      <w:r>
        <w:rPr>
          <w:rFonts w:ascii="Times New Roman" w:eastAsia="Times New Roman"/>
        </w:rPr>
        <w:t>)</w:t>
      </w:r>
      <w:r>
        <w:rPr/>
        <w:t>得予強制拆除，所需費用由申請人負擔。</w:t>
      </w:r>
    </w:p>
    <w:sectPr>
      <w:pgSz w:w="11910" w:h="16850"/>
      <w:pgMar w:header="0" w:footer="532" w:top="1080" w:bottom="7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微軟正黑體">
    <w:altName w:val="微軟正黑體"/>
    <w:charset w:val="88"/>
    <w:family w:val="swiss"/>
    <w:pitch w:val="variable"/>
  </w:font>
  <w:font w:name="新細明體">
    <w:altName w:val="新細明體"/>
    <w:charset w:val="88"/>
    <w:family w:val="roman"/>
    <w:pitch w:val="variable"/>
  </w:font>
  <w:font w:name="Courier New">
    <w:altName w:val="Courier New"/>
    <w:charset w:val="0"/>
    <w:family w:val="modern"/>
    <w:pitch w:val="fixed"/>
  </w:font>
  <w:font w:name="標楷體">
    <w:altName w:val="標楷體"/>
    <w:charset w:val="88"/>
    <w:family w:val="script"/>
    <w:pitch w:val="fixed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6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8.369995pt;margin-top:801.420471pt;width:18.7pt;height:13.05pt;mso-position-horizontal-relative:page;mso-position-vertical-relative:page;z-index:-1456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>
                    <w:rFonts w:ascii="Times New Roman"/>
                    <w:sz w:val="20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20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"/>
      <w:lvlJc w:val="left"/>
      <w:pPr>
        <w:ind w:left="598" w:hanging="480"/>
      </w:pPr>
      <w:rPr>
        <w:rFonts w:hint="default" w:ascii="Wingdings" w:hAnsi="Wingdings" w:eastAsia="Wingdings" w:cs="Wingdings"/>
        <w:w w:val="99"/>
        <w:sz w:val="24"/>
        <w:szCs w:val="24"/>
      </w:rPr>
    </w:lvl>
    <w:lvl w:ilvl="1">
      <w:start w:val="0"/>
      <w:numFmt w:val="bullet"/>
      <w:lvlText w:val=""/>
      <w:lvlJc w:val="left"/>
      <w:pPr>
        <w:ind w:left="1098" w:hanging="480"/>
      </w:pPr>
      <w:rPr>
        <w:rFonts w:hint="default" w:ascii="Wingdings" w:hAnsi="Wingdings" w:eastAsia="Wingdings" w:cs="Wingdings"/>
        <w:w w:val="99"/>
        <w:sz w:val="20"/>
        <w:szCs w:val="20"/>
      </w:rPr>
    </w:lvl>
    <w:lvl w:ilvl="2">
      <w:start w:val="0"/>
      <w:numFmt w:val="bullet"/>
      <w:lvlText w:val="•"/>
      <w:lvlJc w:val="left"/>
      <w:pPr>
        <w:ind w:left="2011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5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47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0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82" w:hanging="4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新細明體" w:hAnsi="新細明體" w:eastAsia="新細明體" w:cs="新細明體"/>
    </w:rPr>
  </w:style>
  <w:style w:styleId="BodyText" w:type="paragraph">
    <w:name w:val="Body Text"/>
    <w:basedOn w:val="Normal"/>
    <w:uiPriority w:val="1"/>
    <w:qFormat/>
    <w:pPr/>
    <w:rPr>
      <w:rFonts w:ascii="新細明體" w:hAnsi="新細明體" w:eastAsia="新細明體" w:cs="新細明體"/>
      <w:sz w:val="24"/>
      <w:szCs w:val="24"/>
    </w:rPr>
  </w:style>
  <w:style w:styleId="Heading1" w:type="paragraph">
    <w:name w:val="Heading 1"/>
    <w:basedOn w:val="Normal"/>
    <w:uiPriority w:val="1"/>
    <w:qFormat/>
    <w:pPr>
      <w:spacing w:line="464" w:lineRule="exact"/>
      <w:ind w:left="178"/>
      <w:outlineLvl w:val="1"/>
    </w:pPr>
    <w:rPr>
      <w:rFonts w:ascii="微軟正黑體" w:hAnsi="微軟正黑體" w:eastAsia="微軟正黑體" w:cs="微軟正黑體"/>
      <w:b/>
      <w:bCs/>
      <w:sz w:val="36"/>
      <w:szCs w:val="36"/>
    </w:rPr>
  </w:style>
  <w:style w:styleId="Heading2" w:type="paragraph">
    <w:name w:val="Heading 2"/>
    <w:basedOn w:val="Normal"/>
    <w:uiPriority w:val="1"/>
    <w:qFormat/>
    <w:pPr>
      <w:spacing w:before="1"/>
      <w:ind w:left="118"/>
      <w:outlineLvl w:val="2"/>
    </w:pPr>
    <w:rPr>
      <w:rFonts w:ascii="新細明體" w:hAnsi="新細明體" w:eastAsia="新細明體" w:cs="新細明體"/>
      <w:sz w:val="32"/>
      <w:szCs w:val="32"/>
    </w:rPr>
  </w:style>
  <w:style w:styleId="Heading3" w:type="paragraph">
    <w:name w:val="Heading 3"/>
    <w:basedOn w:val="Normal"/>
    <w:uiPriority w:val="1"/>
    <w:qFormat/>
    <w:pPr>
      <w:ind w:left="178"/>
      <w:outlineLvl w:val="3"/>
    </w:pPr>
    <w:rPr>
      <w:rFonts w:ascii="微軟正黑體" w:hAnsi="微軟正黑體" w:eastAsia="微軟正黑體" w:cs="微軟正黑體"/>
      <w:b/>
      <w:bCs/>
      <w:sz w:val="28"/>
      <w:szCs w:val="28"/>
    </w:rPr>
  </w:style>
  <w:style w:styleId="Heading4" w:type="paragraph">
    <w:name w:val="Heading 4"/>
    <w:basedOn w:val="Normal"/>
    <w:uiPriority w:val="1"/>
    <w:qFormat/>
    <w:pPr>
      <w:ind w:left="117"/>
      <w:outlineLvl w:val="4"/>
    </w:pPr>
    <w:rPr>
      <w:rFonts w:ascii="微軟正黑體" w:hAnsi="微軟正黑體" w:eastAsia="微軟正黑體" w:cs="微軟正黑體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>
      <w:spacing w:line="312" w:lineRule="exact"/>
      <w:ind w:left="1098" w:hanging="480"/>
    </w:pPr>
    <w:rPr>
      <w:rFonts w:ascii="新細明體" w:hAnsi="新細明體" w:eastAsia="新細明體" w:cs="新細明體"/>
    </w:rPr>
  </w:style>
  <w:style w:styleId="TableParagraph" w:type="paragraph">
    <w:name w:val="Table Paragraph"/>
    <w:basedOn w:val="Normal"/>
    <w:uiPriority w:val="1"/>
    <w:qFormat/>
    <w:pPr/>
    <w:rPr>
      <w:rFonts w:ascii="新細明體" w:hAnsi="新細明體" w:eastAsia="新細明體" w:cs="新細明體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tcma</dc:creator>
  <dc:title>活動名稱：</dc:title>
  <dcterms:created xsi:type="dcterms:W3CDTF">2020-10-16T14:21:27Z</dcterms:created>
  <dcterms:modified xsi:type="dcterms:W3CDTF">2020-10-16T14:21:27Z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2020-10-16T00:00:00Z</vt:filetime>
  </property>
</Properties>
</file>